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2A" w:rsidRPr="001A3CD2" w:rsidRDefault="003E732A" w:rsidP="003E732A">
      <w:pPr>
        <w:jc w:val="center"/>
        <w:rPr>
          <w:rFonts w:ascii="標楷體" w:eastAsia="標楷體" w:hAnsi="標楷體"/>
          <w:sz w:val="36"/>
        </w:rPr>
      </w:pPr>
      <w:r w:rsidRPr="001A3CD2">
        <w:rPr>
          <w:rFonts w:ascii="標楷體" w:eastAsia="標楷體" w:hAnsi="標楷體" w:hint="eastAsia"/>
          <w:sz w:val="36"/>
        </w:rPr>
        <w:t>國立</w:t>
      </w:r>
      <w:r>
        <w:rPr>
          <w:rFonts w:ascii="標楷體" w:eastAsia="標楷體" w:hAnsi="標楷體" w:hint="eastAsia"/>
          <w:sz w:val="36"/>
        </w:rPr>
        <w:t>屏</w:t>
      </w:r>
      <w:r>
        <w:rPr>
          <w:rFonts w:ascii="標楷體" w:eastAsia="標楷體" w:hAnsi="標楷體"/>
          <w:sz w:val="36"/>
        </w:rPr>
        <w:t>東</w:t>
      </w:r>
      <w:r w:rsidRPr="001A3CD2">
        <w:rPr>
          <w:rFonts w:ascii="標楷體" w:eastAsia="標楷體" w:hAnsi="標楷體" w:hint="eastAsia"/>
          <w:sz w:val="36"/>
        </w:rPr>
        <w:t>大學</w:t>
      </w:r>
      <w:r w:rsidRPr="00650D57">
        <w:rPr>
          <w:rFonts w:ascii="標楷體" w:eastAsia="標楷體" w:hAnsi="標楷體" w:hint="eastAsia"/>
          <w:color w:val="000000" w:themeColor="text1"/>
          <w:sz w:val="36"/>
        </w:rPr>
        <w:t>第</w:t>
      </w:r>
      <w:r>
        <w:rPr>
          <w:rFonts w:ascii="標楷體" w:eastAsia="標楷體" w:hAnsi="標楷體" w:hint="eastAsia"/>
          <w:color w:val="000000" w:themeColor="text1"/>
          <w:sz w:val="36"/>
        </w:rPr>
        <w:t>41</w:t>
      </w:r>
      <w:r w:rsidRPr="00650D57">
        <w:rPr>
          <w:rFonts w:ascii="標楷體" w:eastAsia="標楷體" w:hAnsi="標楷體" w:hint="eastAsia"/>
          <w:color w:val="000000" w:themeColor="text1"/>
          <w:sz w:val="36"/>
        </w:rPr>
        <w:t>屆課程</w:t>
      </w:r>
      <w:r w:rsidRPr="001A3CD2">
        <w:rPr>
          <w:rFonts w:ascii="標楷體" w:eastAsia="標楷體" w:hAnsi="標楷體" w:hint="eastAsia"/>
          <w:sz w:val="36"/>
        </w:rPr>
        <w:t>與教學論壇</w:t>
      </w:r>
    </w:p>
    <w:p w:rsidR="003E732A" w:rsidRPr="001D1F62" w:rsidRDefault="003E732A" w:rsidP="003E732A">
      <w:pPr>
        <w:pStyle w:val="a5"/>
        <w:ind w:leftChars="0"/>
        <w:rPr>
          <w:rFonts w:ascii="標楷體" w:eastAsia="標楷體" w:hAnsi="標楷體"/>
          <w:strike/>
          <w:color w:val="FF0000"/>
        </w:rPr>
      </w:pPr>
    </w:p>
    <w:p w:rsidR="003E732A" w:rsidRPr="001D1F62" w:rsidRDefault="003E732A" w:rsidP="003E732A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D1F62">
        <w:rPr>
          <w:rFonts w:ascii="標楷體" w:eastAsia="標楷體" w:hAnsi="標楷體" w:hint="eastAsia"/>
        </w:rPr>
        <w:t>緣起與目的</w:t>
      </w:r>
    </w:p>
    <w:p w:rsidR="003E732A" w:rsidRPr="00650D57" w:rsidRDefault="00CF7A85" w:rsidP="00CF7A85">
      <w:pPr>
        <w:pStyle w:val="a5"/>
        <w:ind w:leftChars="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Cs w:val="24"/>
        </w:rPr>
        <w:t>國</w:t>
      </w:r>
      <w:r>
        <w:rPr>
          <w:rFonts w:ascii="標楷體" w:eastAsia="標楷體" w:hAnsi="標楷體" w:cs="新細明體"/>
          <w:kern w:val="0"/>
          <w:szCs w:val="24"/>
        </w:rPr>
        <w:t>立屏東大學</w:t>
      </w:r>
      <w:r>
        <w:rPr>
          <w:rFonts w:ascii="標楷體" w:eastAsia="標楷體" w:hAnsi="標楷體" w:cs="新細明體" w:hint="eastAsia"/>
          <w:kern w:val="0"/>
          <w:szCs w:val="24"/>
        </w:rPr>
        <w:t>過</w:t>
      </w:r>
      <w:r>
        <w:rPr>
          <w:rFonts w:ascii="標楷體" w:eastAsia="標楷體" w:hAnsi="標楷體" w:cs="新細明體"/>
          <w:kern w:val="0"/>
          <w:szCs w:val="24"/>
        </w:rPr>
        <w:t>往與現今在師資培育</w:t>
      </w:r>
      <w:r>
        <w:rPr>
          <w:rFonts w:ascii="標楷體" w:eastAsia="標楷體" w:hAnsi="標楷體" w:cs="新細明體" w:hint="eastAsia"/>
          <w:kern w:val="0"/>
          <w:szCs w:val="24"/>
        </w:rPr>
        <w:t>上</w:t>
      </w:r>
      <w:r>
        <w:rPr>
          <w:rFonts w:ascii="標楷體" w:eastAsia="標楷體" w:hAnsi="標楷體" w:cs="新細明體"/>
          <w:kern w:val="0"/>
          <w:szCs w:val="24"/>
        </w:rPr>
        <w:t>一直</w:t>
      </w:r>
      <w:r>
        <w:rPr>
          <w:rFonts w:ascii="標楷體" w:eastAsia="標楷體" w:hAnsi="標楷體" w:cs="新細明體" w:hint="eastAsia"/>
          <w:kern w:val="0"/>
          <w:szCs w:val="24"/>
        </w:rPr>
        <w:t>秉</w:t>
      </w:r>
      <w:r>
        <w:rPr>
          <w:rFonts w:ascii="標楷體" w:eastAsia="標楷體" w:hAnsi="標楷體" w:cs="新細明體"/>
          <w:kern w:val="0"/>
          <w:szCs w:val="24"/>
        </w:rPr>
        <w:t>持著傳承與創新的使命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="005C6ADC">
        <w:rPr>
          <w:rFonts w:ascii="標楷體" w:eastAsia="標楷體" w:hAnsi="標楷體" w:cs="新細明體" w:hint="eastAsia"/>
          <w:kern w:val="0"/>
          <w:szCs w:val="24"/>
        </w:rPr>
        <w:t>尤</w:t>
      </w:r>
      <w:r w:rsidR="005C6ADC">
        <w:rPr>
          <w:rFonts w:ascii="標楷體" w:eastAsia="標楷體" w:hAnsi="標楷體" w:cs="新細明體"/>
          <w:kern w:val="0"/>
          <w:szCs w:val="24"/>
        </w:rPr>
        <w:t>其</w:t>
      </w:r>
      <w:r w:rsidR="0091570F">
        <w:rPr>
          <w:rFonts w:ascii="標楷體" w:eastAsia="標楷體" w:hAnsi="標楷體" w:cs="新細明體" w:hint="eastAsia"/>
          <w:kern w:val="0"/>
          <w:szCs w:val="24"/>
        </w:rPr>
        <w:t>對</w:t>
      </w:r>
      <w:r w:rsidR="005C6ADC">
        <w:rPr>
          <w:rFonts w:ascii="標楷體" w:eastAsia="標楷體" w:hAnsi="標楷體" w:cs="新細明體"/>
          <w:kern w:val="0"/>
          <w:szCs w:val="24"/>
        </w:rPr>
        <w:t>於</w:t>
      </w:r>
      <w:r w:rsidR="005C6ADC">
        <w:rPr>
          <w:rFonts w:ascii="標楷體" w:eastAsia="標楷體" w:hAnsi="標楷體" w:cs="新細明體" w:hint="eastAsia"/>
          <w:kern w:val="0"/>
          <w:szCs w:val="24"/>
        </w:rPr>
        <w:t>教</w:t>
      </w:r>
      <w:r w:rsidR="005C6ADC">
        <w:rPr>
          <w:rFonts w:ascii="標楷體" w:eastAsia="標楷體" w:hAnsi="標楷體" w:cs="新細明體"/>
          <w:kern w:val="0"/>
          <w:szCs w:val="24"/>
        </w:rPr>
        <w:t>育</w:t>
      </w:r>
      <w:r w:rsidR="0091570F">
        <w:rPr>
          <w:rFonts w:ascii="標楷體" w:eastAsia="標楷體" w:hAnsi="標楷體" w:cs="新細明體" w:hint="eastAsia"/>
          <w:kern w:val="0"/>
          <w:szCs w:val="24"/>
        </w:rPr>
        <w:t>革</w:t>
      </w:r>
      <w:r w:rsidR="0091570F">
        <w:rPr>
          <w:rFonts w:ascii="標楷體" w:eastAsia="標楷體" w:hAnsi="標楷體" w:cs="新細明體"/>
          <w:kern w:val="0"/>
          <w:szCs w:val="24"/>
        </w:rPr>
        <w:t>新</w:t>
      </w:r>
      <w:r w:rsidR="0091570F">
        <w:rPr>
          <w:rFonts w:ascii="標楷體" w:eastAsia="標楷體" w:hAnsi="標楷體" w:cs="新細明體" w:hint="eastAsia"/>
          <w:kern w:val="0"/>
          <w:szCs w:val="24"/>
        </w:rPr>
        <w:t>特</w:t>
      </w:r>
      <w:r w:rsidR="0091570F">
        <w:rPr>
          <w:rFonts w:ascii="標楷體" w:eastAsia="標楷體" w:hAnsi="標楷體" w:cs="新細明體"/>
          <w:kern w:val="0"/>
          <w:szCs w:val="24"/>
        </w:rPr>
        <w:t>別</w:t>
      </w:r>
      <w:r w:rsidR="005C6ADC">
        <w:rPr>
          <w:rFonts w:ascii="標楷體" w:eastAsia="標楷體" w:hAnsi="標楷體" w:cs="新細明體" w:hint="eastAsia"/>
          <w:kern w:val="0"/>
          <w:szCs w:val="24"/>
        </w:rPr>
        <w:t>賦</w:t>
      </w:r>
      <w:r w:rsidR="005C6ADC">
        <w:rPr>
          <w:rFonts w:ascii="標楷體" w:eastAsia="標楷體" w:hAnsi="標楷體" w:cs="新細明體"/>
          <w:kern w:val="0"/>
          <w:szCs w:val="24"/>
        </w:rPr>
        <w:t>予高度</w:t>
      </w:r>
      <w:r w:rsidR="005C6ADC">
        <w:rPr>
          <w:rFonts w:ascii="標楷體" w:eastAsia="標楷體" w:hAnsi="標楷體" w:cs="新細明體" w:hint="eastAsia"/>
          <w:kern w:val="0"/>
          <w:szCs w:val="24"/>
        </w:rPr>
        <w:t>關</w:t>
      </w:r>
      <w:r w:rsidR="005C6ADC">
        <w:rPr>
          <w:rFonts w:ascii="標楷體" w:eastAsia="標楷體" w:hAnsi="標楷體" w:cs="新細明體"/>
          <w:kern w:val="0"/>
          <w:szCs w:val="24"/>
        </w:rPr>
        <w:t>注</w:t>
      </w:r>
      <w:r w:rsidR="0091570F">
        <w:rPr>
          <w:rFonts w:ascii="標楷體" w:eastAsia="標楷體" w:hAnsi="標楷體" w:cs="新細明體"/>
          <w:kern w:val="0"/>
          <w:szCs w:val="24"/>
        </w:rPr>
        <w:t>，</w:t>
      </w:r>
      <w:r w:rsidR="0091570F">
        <w:rPr>
          <w:rFonts w:ascii="標楷體" w:eastAsia="標楷體" w:hAnsi="標楷體" w:cs="新細明體" w:hint="eastAsia"/>
          <w:kern w:val="0"/>
          <w:szCs w:val="24"/>
        </w:rPr>
        <w:t>以</w:t>
      </w:r>
      <w:r w:rsidR="0091570F">
        <w:rPr>
          <w:rFonts w:ascii="標楷體" w:eastAsia="標楷體" w:hAnsi="標楷體" w:cs="新細明體"/>
          <w:kern w:val="0"/>
          <w:szCs w:val="24"/>
        </w:rPr>
        <w:t>期</w:t>
      </w:r>
      <w:r w:rsidR="0091570F">
        <w:rPr>
          <w:rFonts w:ascii="標楷體" w:eastAsia="標楷體" w:hAnsi="標楷體" w:cs="新細明體" w:hint="eastAsia"/>
          <w:kern w:val="0"/>
          <w:szCs w:val="24"/>
        </w:rPr>
        <w:t>維</w:t>
      </w:r>
      <w:r w:rsidR="0091570F">
        <w:rPr>
          <w:rFonts w:ascii="標楷體" w:eastAsia="標楷體" w:hAnsi="標楷體" w:cs="新細明體"/>
          <w:kern w:val="0"/>
          <w:szCs w:val="24"/>
        </w:rPr>
        <w:t>護豐</w:t>
      </w:r>
      <w:r w:rsidR="0091570F" w:rsidRPr="0091570F">
        <w:rPr>
          <w:rFonts w:ascii="標楷體" w:eastAsia="標楷體" w:hAnsi="標楷體" w:cs="新細明體" w:hint="eastAsia"/>
          <w:kern w:val="0"/>
          <w:szCs w:val="24"/>
        </w:rPr>
        <w:t>厚傳統外，也能超越現</w:t>
      </w:r>
      <w:r w:rsidR="0091570F" w:rsidRPr="0091570F">
        <w:rPr>
          <w:rFonts w:ascii="標楷體" w:eastAsia="標楷體" w:hAnsi="標楷體" w:cs="新細明體"/>
          <w:kern w:val="0"/>
          <w:szCs w:val="24"/>
        </w:rPr>
        <w:t>有</w:t>
      </w:r>
      <w:r w:rsidR="0091570F" w:rsidRPr="0091570F">
        <w:rPr>
          <w:rFonts w:ascii="標楷體" w:eastAsia="標楷體" w:hAnsi="標楷體" w:cs="新細明體" w:hint="eastAsia"/>
          <w:kern w:val="0"/>
          <w:szCs w:val="24"/>
        </w:rPr>
        <w:t>的教</w:t>
      </w:r>
      <w:r w:rsidR="0091570F" w:rsidRPr="0091570F">
        <w:rPr>
          <w:rFonts w:ascii="標楷體" w:eastAsia="標楷體" w:hAnsi="標楷體" w:cs="新細明體"/>
          <w:kern w:val="0"/>
          <w:szCs w:val="24"/>
        </w:rPr>
        <w:t>育</w:t>
      </w:r>
      <w:r w:rsidR="0091570F" w:rsidRPr="0091570F">
        <w:rPr>
          <w:rFonts w:ascii="標楷體" w:eastAsia="標楷體" w:hAnsi="標楷體" w:cs="新細明體" w:hint="eastAsia"/>
          <w:kern w:val="0"/>
          <w:szCs w:val="24"/>
        </w:rPr>
        <w:t>思惟與視野。</w:t>
      </w:r>
      <w:r>
        <w:rPr>
          <w:rFonts w:ascii="標楷體" w:eastAsia="標楷體" w:hAnsi="標楷體" w:cs="新細明體" w:hint="eastAsia"/>
          <w:kern w:val="0"/>
          <w:szCs w:val="24"/>
        </w:rPr>
        <w:t>因</w:t>
      </w:r>
      <w:r>
        <w:rPr>
          <w:rFonts w:ascii="標楷體" w:eastAsia="標楷體" w:hAnsi="標楷體" w:cs="新細明體"/>
          <w:kern w:val="0"/>
          <w:szCs w:val="24"/>
        </w:rPr>
        <w:t>應國際化時代、國內</w:t>
      </w:r>
      <w:r>
        <w:rPr>
          <w:rFonts w:ascii="標楷體" w:eastAsia="標楷體" w:hAnsi="標楷體" w:cs="新細明體" w:hint="eastAsia"/>
          <w:kern w:val="0"/>
          <w:szCs w:val="24"/>
        </w:rPr>
        <w:t>師</w:t>
      </w:r>
      <w:r>
        <w:rPr>
          <w:rFonts w:ascii="標楷體" w:eastAsia="標楷體" w:hAnsi="標楷體" w:cs="新細明體"/>
          <w:kern w:val="0"/>
          <w:szCs w:val="24"/>
        </w:rPr>
        <w:t>資培育課程與國民教育革新，</w:t>
      </w:r>
      <w:r>
        <w:rPr>
          <w:rFonts w:ascii="標楷體" w:eastAsia="標楷體" w:hAnsi="標楷體" w:cs="新細明體" w:hint="eastAsia"/>
          <w:kern w:val="0"/>
          <w:szCs w:val="24"/>
        </w:rPr>
        <w:t>其</w:t>
      </w:r>
      <w:r>
        <w:rPr>
          <w:rFonts w:ascii="標楷體" w:eastAsia="標楷體" w:hAnsi="標楷體" w:cs="新細明體"/>
          <w:kern w:val="0"/>
          <w:szCs w:val="24"/>
        </w:rPr>
        <w:t>中許多課題</w:t>
      </w:r>
      <w:r w:rsidR="006359B7">
        <w:rPr>
          <w:rFonts w:ascii="標楷體" w:eastAsia="標楷體" w:hAnsi="標楷體" w:cs="新細明體" w:hint="eastAsia"/>
          <w:kern w:val="0"/>
          <w:szCs w:val="24"/>
        </w:rPr>
        <w:t>亟</w:t>
      </w:r>
      <w:r w:rsidR="006359B7">
        <w:rPr>
          <w:rFonts w:ascii="標楷體" w:eastAsia="標楷體" w:hAnsi="標楷體" w:cs="新細明體"/>
          <w:kern w:val="0"/>
          <w:szCs w:val="24"/>
        </w:rPr>
        <w:t>須</w:t>
      </w:r>
      <w:r>
        <w:rPr>
          <w:rFonts w:ascii="標楷體" w:eastAsia="標楷體" w:hAnsi="標楷體" w:cs="新細明體"/>
          <w:kern w:val="0"/>
          <w:szCs w:val="24"/>
        </w:rPr>
        <w:t>一再</w:t>
      </w:r>
      <w:r>
        <w:rPr>
          <w:rFonts w:ascii="標楷體" w:eastAsia="標楷體" w:hAnsi="標楷體" w:cs="新細明體" w:hint="eastAsia"/>
          <w:kern w:val="0"/>
          <w:szCs w:val="24"/>
        </w:rPr>
        <w:t>對</w:t>
      </w:r>
      <w:r>
        <w:rPr>
          <w:rFonts w:ascii="標楷體" w:eastAsia="標楷體" w:hAnsi="標楷體" w:cs="新細明體"/>
          <w:kern w:val="0"/>
          <w:szCs w:val="24"/>
        </w:rPr>
        <w:t>話、辯證與</w:t>
      </w:r>
      <w:r>
        <w:rPr>
          <w:rFonts w:ascii="標楷體" w:eastAsia="標楷體" w:hAnsi="標楷體" w:cs="新細明體" w:hint="eastAsia"/>
          <w:kern w:val="0"/>
          <w:szCs w:val="24"/>
        </w:rPr>
        <w:t>省</w:t>
      </w:r>
      <w:r>
        <w:rPr>
          <w:rFonts w:ascii="標楷體" w:eastAsia="標楷體" w:hAnsi="標楷體" w:cs="新細明體"/>
          <w:kern w:val="0"/>
          <w:szCs w:val="24"/>
        </w:rPr>
        <w:t>思。</w:t>
      </w:r>
      <w:r w:rsidR="00EB6C7F">
        <w:rPr>
          <w:rFonts w:ascii="標楷體" w:eastAsia="標楷體" w:hAnsi="標楷體" w:cs="新細明體" w:hint="eastAsia"/>
          <w:kern w:val="0"/>
          <w:szCs w:val="24"/>
        </w:rPr>
        <w:t>本</w:t>
      </w:r>
      <w:r w:rsidR="00EB6C7F">
        <w:rPr>
          <w:rFonts w:ascii="標楷體" w:eastAsia="標楷體" w:hAnsi="標楷體" w:cs="新細明體"/>
          <w:kern w:val="0"/>
          <w:szCs w:val="24"/>
        </w:rPr>
        <w:t>研討會以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「</w:t>
      </w:r>
      <w:r w:rsidR="00F61F40">
        <w:rPr>
          <w:rFonts w:ascii="標楷體" w:eastAsia="標楷體" w:hAnsi="標楷體" w:cs="新細明體"/>
          <w:kern w:val="0"/>
          <w:szCs w:val="24"/>
        </w:rPr>
        <w:t>教育革新」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為</w:t>
      </w:r>
      <w:r w:rsidR="00F61F40">
        <w:rPr>
          <w:rFonts w:ascii="標楷體" w:eastAsia="標楷體" w:hAnsi="標楷體" w:cs="新細明體"/>
          <w:kern w:val="0"/>
          <w:szCs w:val="24"/>
        </w:rPr>
        <w:t>主題，邀請國內外學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者</w:t>
      </w:r>
      <w:r w:rsidR="00F61F40">
        <w:rPr>
          <w:rFonts w:ascii="標楷體" w:eastAsia="標楷體" w:hAnsi="標楷體" w:cs="新細明體"/>
          <w:kern w:val="0"/>
          <w:szCs w:val="24"/>
        </w:rPr>
        <w:t>進行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專</w:t>
      </w:r>
      <w:r w:rsidR="00F61F40">
        <w:rPr>
          <w:rFonts w:ascii="標楷體" w:eastAsia="標楷體" w:hAnsi="標楷體" w:cs="新細明體"/>
          <w:kern w:val="0"/>
          <w:szCs w:val="24"/>
        </w:rPr>
        <w:t>題演講與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圓</w:t>
      </w:r>
      <w:r w:rsidR="00F61F40">
        <w:rPr>
          <w:rFonts w:ascii="標楷體" w:eastAsia="標楷體" w:hAnsi="標楷體" w:cs="新細明體"/>
          <w:kern w:val="0"/>
          <w:szCs w:val="24"/>
        </w:rPr>
        <w:t>桌論壇，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希</w:t>
      </w:r>
      <w:r w:rsidR="00F61F40">
        <w:rPr>
          <w:rFonts w:ascii="標楷體" w:eastAsia="標楷體" w:hAnsi="標楷體" w:cs="新細明體"/>
          <w:kern w:val="0"/>
          <w:szCs w:val="24"/>
        </w:rPr>
        <w:t>冀能透過經驗交流與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互</w:t>
      </w:r>
      <w:r w:rsidR="00F61F40">
        <w:rPr>
          <w:rFonts w:ascii="標楷體" w:eastAsia="標楷體" w:hAnsi="標楷體" w:cs="新細明體"/>
          <w:kern w:val="0"/>
          <w:szCs w:val="24"/>
        </w:rPr>
        <w:t>動對話，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開</w:t>
      </w:r>
      <w:r w:rsidR="00F61F40">
        <w:rPr>
          <w:rFonts w:ascii="標楷體" w:eastAsia="標楷體" w:hAnsi="標楷體" w:cs="新細明體"/>
          <w:kern w:val="0"/>
          <w:szCs w:val="24"/>
        </w:rPr>
        <w:t>展教育與社會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嶄</w:t>
      </w:r>
      <w:r w:rsidR="00F61F40">
        <w:rPr>
          <w:rFonts w:ascii="標楷體" w:eastAsia="標楷體" w:hAnsi="標楷體" w:cs="新細明體"/>
          <w:kern w:val="0"/>
          <w:szCs w:val="24"/>
        </w:rPr>
        <w:t>新</w:t>
      </w:r>
      <w:r w:rsidR="00F61F40">
        <w:rPr>
          <w:rFonts w:ascii="標楷體" w:eastAsia="標楷體" w:hAnsi="標楷體" w:cs="新細明體" w:hint="eastAsia"/>
          <w:kern w:val="0"/>
          <w:szCs w:val="24"/>
        </w:rPr>
        <w:t>格</w:t>
      </w:r>
      <w:r w:rsidR="00F61F40">
        <w:rPr>
          <w:rFonts w:ascii="標楷體" w:eastAsia="標楷體" w:hAnsi="標楷體" w:cs="新細明體"/>
          <w:kern w:val="0"/>
          <w:szCs w:val="24"/>
        </w:rPr>
        <w:t>局</w:t>
      </w:r>
      <w:r w:rsidR="003E732A" w:rsidRPr="00650D5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3E732A" w:rsidRPr="006F49FA" w:rsidRDefault="003E732A" w:rsidP="003E732A">
      <w:pPr>
        <w:pStyle w:val="a5"/>
        <w:ind w:leftChars="0" w:left="142" w:firstLineChars="295" w:firstLine="708"/>
        <w:rPr>
          <w:rFonts w:ascii="標楷體" w:eastAsia="標楷體" w:hAnsi="標楷體"/>
          <w:szCs w:val="24"/>
        </w:rPr>
      </w:pPr>
    </w:p>
    <w:p w:rsidR="003E732A" w:rsidRPr="001D1F62" w:rsidRDefault="003E732A" w:rsidP="003E732A">
      <w:pPr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</w:rPr>
        <w:t>二、</w:t>
      </w:r>
      <w:r w:rsidRPr="001D1F62">
        <w:rPr>
          <w:rFonts w:ascii="標楷體" w:eastAsia="標楷體" w:hAnsi="標楷體" w:cs="Times New Roman"/>
        </w:rPr>
        <w:t>辦理單位：</w:t>
      </w:r>
    </w:p>
    <w:p w:rsidR="003E732A" w:rsidRPr="009A39E1" w:rsidRDefault="003E732A" w:rsidP="003E732A">
      <w:pPr>
        <w:pStyle w:val="a5"/>
        <w:numPr>
          <w:ilvl w:val="0"/>
          <w:numId w:val="13"/>
        </w:numPr>
        <w:ind w:leftChars="0" w:left="709" w:hanging="283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主辦單位：國立</w:t>
      </w:r>
      <w:r w:rsidR="00CF7A85">
        <w:rPr>
          <w:rFonts w:ascii="Times New Roman" w:eastAsia="標楷體" w:hAnsi="Times New Roman" w:cs="Times New Roman" w:hint="eastAsia"/>
        </w:rPr>
        <w:t>屏</w:t>
      </w:r>
      <w:r w:rsidR="00CF7A85">
        <w:rPr>
          <w:rFonts w:ascii="Times New Roman" w:eastAsia="標楷體" w:hAnsi="Times New Roman" w:cs="Times New Roman"/>
        </w:rPr>
        <w:t>東</w:t>
      </w:r>
      <w:r w:rsidRPr="009A39E1">
        <w:rPr>
          <w:rFonts w:ascii="Times New Roman" w:eastAsia="標楷體" w:hAnsi="Times New Roman" w:cs="Times New Roman"/>
        </w:rPr>
        <w:t>大學</w:t>
      </w:r>
      <w:r w:rsidR="00CF7A85">
        <w:rPr>
          <w:rFonts w:ascii="Times New Roman" w:eastAsia="標楷體" w:hAnsi="Times New Roman" w:cs="Times New Roman" w:hint="eastAsia"/>
        </w:rPr>
        <w:t>教</w:t>
      </w:r>
      <w:r w:rsidR="00CF7A85">
        <w:rPr>
          <w:rFonts w:ascii="Times New Roman" w:eastAsia="標楷體" w:hAnsi="Times New Roman" w:cs="Times New Roman"/>
        </w:rPr>
        <w:t>育學系</w:t>
      </w:r>
      <w:r w:rsidR="00CF7A85">
        <w:rPr>
          <w:rFonts w:ascii="Times New Roman" w:eastAsia="標楷體" w:hAnsi="Times New Roman" w:cs="Times New Roman" w:hint="eastAsia"/>
        </w:rPr>
        <w:t>、</w:t>
      </w:r>
      <w:r w:rsidR="00CF7A85">
        <w:rPr>
          <w:rFonts w:ascii="Times New Roman" w:eastAsia="標楷體" w:hAnsi="Times New Roman" w:cs="Times New Roman"/>
        </w:rPr>
        <w:t>師資培育中心、教育學院</w:t>
      </w:r>
    </w:p>
    <w:p w:rsidR="003E732A" w:rsidRPr="009A39E1" w:rsidRDefault="003E732A" w:rsidP="003E732A">
      <w:pPr>
        <w:pStyle w:val="a5"/>
        <w:numPr>
          <w:ilvl w:val="0"/>
          <w:numId w:val="13"/>
        </w:numPr>
        <w:ind w:leftChars="0" w:left="709" w:hanging="283"/>
        <w:rPr>
          <w:rFonts w:ascii="Times New Roman" w:eastAsia="標楷體" w:hAnsi="Times New Roman" w:cs="Times New Roman"/>
        </w:rPr>
      </w:pPr>
      <w:r w:rsidRPr="009A39E1">
        <w:rPr>
          <w:rFonts w:ascii="Times New Roman" w:eastAsia="標楷體" w:hAnsi="Times New Roman" w:cs="Times New Roman"/>
        </w:rPr>
        <w:t>協辦單位：中華民國課程與教學學會</w:t>
      </w:r>
    </w:p>
    <w:p w:rsidR="003E732A" w:rsidRPr="00F61F40" w:rsidRDefault="003E732A" w:rsidP="00F61F40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1F40">
        <w:rPr>
          <w:rFonts w:ascii="Times New Roman" w:eastAsia="標楷體" w:hAnsi="Times New Roman" w:cs="Times New Roman"/>
          <w:szCs w:val="24"/>
        </w:rPr>
        <w:t>時間：</w:t>
      </w:r>
      <w:r w:rsidRPr="00F61F40">
        <w:rPr>
          <w:rFonts w:ascii="Times New Roman" w:eastAsia="標楷體" w:hAnsi="Times New Roman" w:cs="Times New Roman"/>
        </w:rPr>
        <w:t>10</w:t>
      </w:r>
      <w:r w:rsidR="00F61F40">
        <w:rPr>
          <w:rFonts w:ascii="Times New Roman" w:eastAsia="標楷體" w:hAnsi="Times New Roman" w:cs="Times New Roman"/>
        </w:rPr>
        <w:t>8</w:t>
      </w:r>
      <w:r w:rsidRPr="00F61F40">
        <w:rPr>
          <w:rFonts w:ascii="Times New Roman" w:eastAsia="標楷體" w:hAnsi="Times New Roman" w:cs="Times New Roman"/>
        </w:rPr>
        <w:t>年</w:t>
      </w:r>
      <w:r w:rsidR="00F61F40">
        <w:rPr>
          <w:rFonts w:ascii="Times New Roman" w:eastAsia="標楷體" w:hAnsi="Times New Roman" w:cs="Times New Roman" w:hint="eastAsia"/>
        </w:rPr>
        <w:t>10</w:t>
      </w:r>
      <w:r w:rsidRPr="00F61F40">
        <w:rPr>
          <w:rFonts w:ascii="Times New Roman" w:eastAsia="標楷體" w:hAnsi="Times New Roman" w:cs="Times New Roman"/>
        </w:rPr>
        <w:t>月</w:t>
      </w:r>
      <w:r w:rsidR="00F61F40">
        <w:rPr>
          <w:rFonts w:ascii="Times New Roman" w:eastAsia="標楷體" w:hAnsi="Times New Roman" w:cs="Times New Roman" w:hint="eastAsia"/>
        </w:rPr>
        <w:t>18</w:t>
      </w:r>
      <w:r w:rsidRPr="00F61F40">
        <w:rPr>
          <w:rFonts w:ascii="Times New Roman" w:eastAsia="標楷體" w:hAnsi="Times New Roman" w:cs="Times New Roman"/>
        </w:rPr>
        <w:t>日</w:t>
      </w:r>
      <w:r w:rsidR="00F61F40">
        <w:rPr>
          <w:rFonts w:ascii="Times New Roman" w:eastAsia="標楷體" w:hAnsi="Times New Roman" w:cs="Times New Roman" w:hint="eastAsia"/>
        </w:rPr>
        <w:t>（</w:t>
      </w:r>
      <w:r w:rsidRPr="00F61F40">
        <w:rPr>
          <w:rFonts w:ascii="Times New Roman" w:eastAsia="標楷體" w:hAnsi="Times New Roman" w:cs="Times New Roman"/>
        </w:rPr>
        <w:t>星期</w:t>
      </w:r>
      <w:r w:rsidR="00F61F40">
        <w:rPr>
          <w:rFonts w:ascii="Times New Roman" w:eastAsia="標楷體" w:hAnsi="Times New Roman" w:cs="Times New Roman" w:hint="eastAsia"/>
        </w:rPr>
        <w:t>五）</w:t>
      </w:r>
    </w:p>
    <w:p w:rsidR="003E732A" w:rsidRPr="000916D4" w:rsidRDefault="003E732A" w:rsidP="00F61F40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61F40">
        <w:rPr>
          <w:rFonts w:ascii="Times New Roman" w:eastAsia="標楷體" w:hAnsi="Times New Roman" w:cs="Times New Roman"/>
          <w:szCs w:val="24"/>
        </w:rPr>
        <w:t>地點：</w:t>
      </w:r>
      <w:r w:rsidRPr="00F61F40">
        <w:rPr>
          <w:rFonts w:ascii="Times New Roman" w:eastAsia="標楷體" w:hAnsi="Times New Roman" w:cs="Times New Roman"/>
        </w:rPr>
        <w:t>國立</w:t>
      </w:r>
      <w:r w:rsidR="00F61F40">
        <w:rPr>
          <w:rFonts w:ascii="Times New Roman" w:eastAsia="標楷體" w:hAnsi="Times New Roman" w:cs="Times New Roman" w:hint="eastAsia"/>
        </w:rPr>
        <w:t>屏</w:t>
      </w:r>
      <w:r w:rsidR="00F61F40">
        <w:rPr>
          <w:rFonts w:ascii="Times New Roman" w:eastAsia="標楷體" w:hAnsi="Times New Roman" w:cs="Times New Roman"/>
        </w:rPr>
        <w:t>東大</w:t>
      </w:r>
      <w:r w:rsidR="00F61F40">
        <w:rPr>
          <w:rFonts w:ascii="Times New Roman" w:eastAsia="標楷體" w:hAnsi="Times New Roman" w:cs="Times New Roman" w:hint="eastAsia"/>
        </w:rPr>
        <w:t>學民</w:t>
      </w:r>
      <w:r w:rsidR="00F61F40">
        <w:rPr>
          <w:rFonts w:ascii="Times New Roman" w:eastAsia="標楷體" w:hAnsi="Times New Roman" w:cs="Times New Roman"/>
        </w:rPr>
        <w:t>生校區五育樓四樓</w:t>
      </w:r>
      <w:r w:rsidRPr="00F61F40">
        <w:rPr>
          <w:rFonts w:ascii="Times New Roman" w:eastAsia="標楷體" w:hAnsi="Times New Roman" w:cs="Times New Roman"/>
        </w:rPr>
        <w:t>國際會議廳</w:t>
      </w:r>
    </w:p>
    <w:p w:rsidR="000916D4" w:rsidRPr="00CE186C" w:rsidRDefault="000916D4" w:rsidP="00CE186C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課程與教學論壇活動與報名資訊</w:t>
      </w:r>
      <w:r>
        <w:rPr>
          <w:rFonts w:ascii="Times New Roman" w:eastAsia="標楷體" w:hAnsi="Times New Roman" w:cs="Times New Roman" w:hint="eastAsia"/>
        </w:rPr>
        <w:t xml:space="preserve">: </w:t>
      </w:r>
      <w:hyperlink r:id="rId7" w:history="1">
        <w:r w:rsidR="00CE186C" w:rsidRPr="003E11AF">
          <w:rPr>
            <w:rStyle w:val="a4"/>
            <w:rFonts w:ascii="Times New Roman" w:eastAsia="標楷體" w:hAnsi="Times New Roman" w:cs="Times New Roman"/>
          </w:rPr>
          <w:t>https://forms.gle/tyCVnn6iLQFjwrMh8</w:t>
        </w:r>
      </w:hyperlink>
      <w:r w:rsidR="00CE186C">
        <w:rPr>
          <w:rFonts w:ascii="Times New Roman" w:eastAsia="標楷體" w:hAnsi="Times New Roman" w:cs="Times New Roman" w:hint="eastAsia"/>
          <w:noProof/>
          <w:szCs w:val="24"/>
        </w:rPr>
        <w:t xml:space="preserve"> </w:t>
      </w:r>
      <w:r w:rsidR="00CE186C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861060" cy="861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課程與教學論壇qrcode (正確版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6C" w:rsidRPr="00B5247C" w:rsidRDefault="00CE186C" w:rsidP="00CE186C">
      <w:pPr>
        <w:pStyle w:val="a5"/>
        <w:ind w:leftChars="0"/>
        <w:rPr>
          <w:rFonts w:ascii="Times New Roman" w:eastAsia="標楷體" w:hAnsi="Times New Roman" w:cs="Times New Roman"/>
          <w:szCs w:val="24"/>
        </w:rPr>
      </w:pPr>
    </w:p>
    <w:p w:rsidR="003E732A" w:rsidRPr="00821885" w:rsidRDefault="003E732A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3E732A" w:rsidRDefault="003E732A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bookmarkEnd w:id="0"/>
    </w:p>
    <w:p w:rsidR="003E732A" w:rsidRDefault="003E732A">
      <w:pPr>
        <w:widowControl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br w:type="page"/>
      </w:r>
    </w:p>
    <w:p w:rsidR="009D327E" w:rsidRDefault="008C7525" w:rsidP="00A9127E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A431C4"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2019</w:t>
      </w:r>
      <w:r w:rsidR="00A9127E" w:rsidRPr="00A431C4">
        <w:rPr>
          <w:rFonts w:ascii="標楷體" w:eastAsia="標楷體" w:hAnsi="標楷體" w:cs="標楷體" w:hint="eastAsia"/>
          <w:b/>
          <w:kern w:val="0"/>
          <w:sz w:val="32"/>
          <w:szCs w:val="32"/>
        </w:rPr>
        <w:t>年第</w:t>
      </w:r>
      <w:r w:rsidR="00BE1994">
        <w:rPr>
          <w:rFonts w:ascii="標楷體" w:eastAsia="標楷體" w:hAnsi="標楷體" w:cs="標楷體" w:hint="eastAsia"/>
          <w:b/>
          <w:kern w:val="0"/>
          <w:sz w:val="32"/>
          <w:szCs w:val="32"/>
        </w:rPr>
        <w:t>41</w:t>
      </w:r>
      <w:r w:rsidR="009D327E" w:rsidRPr="00A431C4">
        <w:rPr>
          <w:rFonts w:ascii="標楷體" w:eastAsia="標楷體" w:hAnsi="標楷體" w:cs="標楷體" w:hint="eastAsia"/>
          <w:b/>
          <w:kern w:val="0"/>
          <w:sz w:val="32"/>
          <w:szCs w:val="32"/>
        </w:rPr>
        <w:t>屆</w:t>
      </w:r>
      <w:r w:rsidR="00BE1994">
        <w:rPr>
          <w:rFonts w:ascii="標楷體" w:eastAsia="標楷體" w:hAnsi="標楷體" w:cs="標楷體" w:hint="eastAsia"/>
          <w:b/>
          <w:kern w:val="0"/>
          <w:sz w:val="32"/>
          <w:szCs w:val="32"/>
        </w:rPr>
        <w:t xml:space="preserve"> 課程</w:t>
      </w:r>
      <w:r w:rsidR="00BE1994">
        <w:rPr>
          <w:rFonts w:ascii="標楷體" w:eastAsia="標楷體" w:hAnsi="標楷體" w:cs="標楷體"/>
          <w:b/>
          <w:kern w:val="0"/>
          <w:sz w:val="32"/>
          <w:szCs w:val="32"/>
        </w:rPr>
        <w:t>與教學論壇</w:t>
      </w:r>
      <w:r w:rsidR="00861666">
        <w:rPr>
          <w:rFonts w:ascii="標楷體" w:eastAsia="標楷體" w:hAnsi="標楷體" w:cs="標楷體" w:hint="eastAsia"/>
          <w:b/>
          <w:kern w:val="0"/>
          <w:sz w:val="32"/>
          <w:szCs w:val="32"/>
        </w:rPr>
        <w:t>議</w:t>
      </w:r>
      <w:r w:rsidR="000A26F5">
        <w:rPr>
          <w:rFonts w:ascii="標楷體" w:eastAsia="標楷體" w:hAnsi="標楷體" w:cs="標楷體"/>
          <w:b/>
          <w:kern w:val="0"/>
          <w:sz w:val="32"/>
          <w:szCs w:val="32"/>
        </w:rPr>
        <w:t>程</w:t>
      </w:r>
    </w:p>
    <w:p w:rsidR="009D327E" w:rsidRPr="00CF0C07" w:rsidRDefault="009D327E" w:rsidP="00CF0C07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B755D">
        <w:rPr>
          <w:rFonts w:ascii="標楷體" w:eastAsia="標楷體" w:hAnsi="標楷體" w:hint="eastAsia"/>
          <w:b/>
          <w:color w:val="000000"/>
          <w:sz w:val="28"/>
          <w:szCs w:val="28"/>
        </w:rPr>
        <w:t>時間：</w:t>
      </w:r>
      <w:r w:rsidR="008C7525">
        <w:rPr>
          <w:rFonts w:ascii="標楷體" w:eastAsia="標楷體" w:hAnsi="標楷體" w:hint="eastAsia"/>
          <w:b/>
          <w:color w:val="000000"/>
          <w:sz w:val="28"/>
          <w:szCs w:val="28"/>
        </w:rPr>
        <w:t>108</w:t>
      </w:r>
      <w:r w:rsidRPr="006B755D">
        <w:rPr>
          <w:rFonts w:ascii="標楷體" w:eastAsia="標楷體" w:hAnsi="標楷體" w:hint="eastAsia"/>
          <w:b/>
          <w:color w:val="000000"/>
          <w:sz w:val="28"/>
          <w:szCs w:val="28"/>
        </w:rPr>
        <w:t>年10月1</w:t>
      </w:r>
      <w:r w:rsidR="008C7525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6B755D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Pr="006B755D">
        <w:rPr>
          <w:rFonts w:ascii="標楷體" w:eastAsia="標楷體" w:hAnsi="標楷體" w:hint="eastAsia"/>
          <w:b/>
          <w:sz w:val="28"/>
          <w:szCs w:val="28"/>
        </w:rPr>
        <w:t>（星期五）</w:t>
      </w:r>
      <w:r w:rsidR="00BE199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B755D">
        <w:rPr>
          <w:rFonts w:ascii="標楷體" w:eastAsia="標楷體" w:hAnsi="標楷體" w:hint="eastAsia"/>
          <w:b/>
          <w:color w:val="000000"/>
          <w:sz w:val="28"/>
          <w:szCs w:val="28"/>
        </w:rPr>
        <w:t>地點：</w:t>
      </w:r>
      <w:r w:rsidRPr="006B755D">
        <w:rPr>
          <w:rFonts w:ascii="標楷體" w:eastAsia="標楷體" w:hAnsi="標楷體" w:hint="eastAsia"/>
          <w:b/>
          <w:sz w:val="28"/>
          <w:szCs w:val="28"/>
        </w:rPr>
        <w:t>國立屏東大學(民生校區)</w:t>
      </w:r>
    </w:p>
    <w:tbl>
      <w:tblPr>
        <w:tblStyle w:val="21"/>
        <w:tblW w:w="10343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34"/>
      </w:tblGrid>
      <w:tr w:rsidR="00E50D41" w:rsidRPr="006B755D" w:rsidTr="00CA7C0A">
        <w:tc>
          <w:tcPr>
            <w:tcW w:w="10343" w:type="dxa"/>
            <w:gridSpan w:val="3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</w:pPr>
            <w:r w:rsidRPr="001747A4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108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年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10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月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18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日</w:t>
            </w:r>
            <w:r w:rsidRPr="001747A4">
              <w:rPr>
                <w:rFonts w:ascii="Times New Roman" w:eastAsia="標楷體" w:hAnsi="Times New Roman"/>
                <w:b/>
                <w:bCs/>
                <w:kern w:val="0"/>
                <w:sz w:val="23"/>
                <w:szCs w:val="23"/>
              </w:rPr>
              <w:t>(</w:t>
            </w:r>
            <w:r w:rsidRPr="001747A4">
              <w:rPr>
                <w:rFonts w:ascii="Times New Roman" w:eastAsia="標楷體" w:hAnsi="Times New Roman"/>
                <w:b/>
                <w:bCs/>
                <w:kern w:val="0"/>
                <w:sz w:val="23"/>
                <w:szCs w:val="23"/>
              </w:rPr>
              <w:t>第一天，</w:t>
            </w:r>
            <w:r w:rsidRPr="001747A4">
              <w:rPr>
                <w:rFonts w:ascii="Times New Roman" w:eastAsia="標楷體" w:hAnsi="Times New Roman"/>
                <w:b/>
                <w:bCs/>
                <w:kern w:val="0"/>
                <w:sz w:val="23"/>
                <w:szCs w:val="23"/>
              </w:rPr>
              <w:t>Day one )</w:t>
            </w:r>
          </w:p>
        </w:tc>
      </w:tr>
      <w:tr w:rsidR="00E50D41" w:rsidRPr="006B755D" w:rsidTr="00CA7C0A">
        <w:tc>
          <w:tcPr>
            <w:tcW w:w="1809" w:type="dxa"/>
            <w:gridSpan w:val="2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時間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Time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議程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Event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0900-0920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20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報到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b/>
                <w:bCs/>
                <w:kern w:val="0"/>
                <w:sz w:val="23"/>
                <w:szCs w:val="23"/>
              </w:rPr>
              <w:t>Registration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0920-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1000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4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【開幕式】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Opening Ceremony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長官貴賓：潘文忠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部長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教育部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        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范巽綠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政務次長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教育部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        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鄭淵全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司長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教育部師資培育及藝術教育司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        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古源光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校長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國立屏東大學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        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楊智穎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主任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國立屏東大學師資培育中心</w:t>
            </w:r>
          </w:p>
          <w:p w:rsidR="00E50D41" w:rsidRPr="001747A4" w:rsidRDefault="00E50D41" w:rsidP="00E50D41">
            <w:pPr>
              <w:autoSpaceDE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     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張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芬芬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教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授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北市立大學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學習與媒材設計學系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</w:p>
          <w:p w:rsidR="00E50D41" w:rsidRPr="001747A4" w:rsidRDefault="00E50D41" w:rsidP="00E50D41">
            <w:pPr>
              <w:autoSpaceDE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                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理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事長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中華民國課程與教學學會</w:t>
            </w:r>
          </w:p>
          <w:p w:rsidR="00E50D41" w:rsidRPr="001747A4" w:rsidRDefault="00E50D41" w:rsidP="00E50D41">
            <w:pPr>
              <w:autoSpaceDE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頒獎儀式：學會最佳碩博士論文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地點：五育樓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</w:p>
        </w:tc>
      </w:tr>
      <w:tr w:rsidR="00E50D41" w:rsidRPr="006B755D" w:rsidTr="00B07E94">
        <w:tc>
          <w:tcPr>
            <w:tcW w:w="1242" w:type="dxa"/>
            <w:vAlign w:val="center"/>
          </w:tcPr>
          <w:p w:rsidR="00E50D41" w:rsidRPr="001747A4" w:rsidRDefault="00E50D41" w:rsidP="00E50D41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1000-1020</w:t>
            </w:r>
          </w:p>
        </w:tc>
        <w:tc>
          <w:tcPr>
            <w:tcW w:w="567" w:type="dxa"/>
            <w:vAlign w:val="center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國外教育見習教育實習及國際史懷哲計畫記者會</w:t>
            </w:r>
          </w:p>
          <w:p w:rsidR="00E50D41" w:rsidRPr="001747A4" w:rsidRDefault="00E50D41" w:rsidP="00E50D41">
            <w:pPr>
              <w:autoSpaceDE w:val="0"/>
              <w:adjustRightInd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地點：五育樓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020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0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團體照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Group Photo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0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30-1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20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專題演講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Keynote Speech (I)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主持人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Moderator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：孫敏芝教授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國立屏東大學教育學系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講題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Topic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：師資培育的國際趨勢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多元國家觀點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主講人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Keynote Speaker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Kirsti Lonka (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國外學者專家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芬蘭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)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同步翻譯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Simultaneous Interpreter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地點：五育樓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tabs>
                <w:tab w:val="left" w:pos="550"/>
              </w:tabs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20-1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13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中場休息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Break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13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220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專題演講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Keynote Speech (</w:t>
            </w:r>
            <w:r w:rsidRPr="001747A4">
              <w:rPr>
                <w:rFonts w:ascii="新細明體" w:hAnsi="新細明體" w:cs="新細明體"/>
                <w:kern w:val="0"/>
                <w:sz w:val="23"/>
                <w:szCs w:val="23"/>
              </w:rPr>
              <w:t>Ⅱ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)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主持人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Moderator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：周愚文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教授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國立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臺灣師範大學教育學系</w:t>
            </w:r>
          </w:p>
          <w:p w:rsidR="00E50D41" w:rsidRPr="001747A4" w:rsidRDefault="00E50D41" w:rsidP="00E50D41">
            <w:pPr>
              <w:autoSpaceDE w:val="0"/>
              <w:spacing w:line="300" w:lineRule="exact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講題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Topic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  <w:r w:rsidRPr="001747A4">
              <w:rPr>
                <w:rFonts w:ascii="標楷體" w:eastAsia="標楷體" w:hAnsi="標楷體"/>
                <w:sz w:val="23"/>
                <w:szCs w:val="23"/>
              </w:rPr>
              <w:t>分科教材教法的檢討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主講人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Keynote Speaker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：黃政傑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教授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靜宜大學教育研究所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同步翻譯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Simultaneous Interpreter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地點：五育樓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22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33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7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午餐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Lunch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33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0-1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9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師資培育論壇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Panel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主持人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Moderator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：張芬芬教授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臺北市立大學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學習與媒材設計學系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講題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Topic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：師資職前教育課程基準的反省與前瞻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與談人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 Panelist 1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：楊智穎主任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國立屏東大學師資培育中心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與談人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2 Panelist 2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：魏麗敏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處長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/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國立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臺中教育大學</w:t>
            </w:r>
            <w:r w:rsidRPr="001747A4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師資培育暨就業輔導處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與談人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3 Panelist 3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  <w:r w:rsidRPr="001747A4">
              <w:rPr>
                <w:rFonts w:ascii="標楷體" w:eastAsia="標楷體" w:hAnsi="標楷體" w:cs="標楷體"/>
                <w:kern w:val="0"/>
                <w:sz w:val="23"/>
                <w:szCs w:val="23"/>
              </w:rPr>
              <w:t>黃嘉莉教授/國立臺灣師範大學</w:t>
            </w:r>
            <w:r w:rsidRPr="001747A4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師資培育與就業輔導處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同步翻譯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Simultaneous Interpreter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</w:p>
          <w:p w:rsidR="00E50D41" w:rsidRPr="001747A4" w:rsidRDefault="00E50D41" w:rsidP="00E50D41">
            <w:pPr>
              <w:autoSpaceDE w:val="0"/>
              <w:spacing w:line="300" w:lineRule="exact"/>
              <w:jc w:val="both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地點：五育樓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</w:p>
        </w:tc>
      </w:tr>
      <w:tr w:rsidR="00E50D41" w:rsidRPr="006B755D" w:rsidTr="00CA7C0A">
        <w:tc>
          <w:tcPr>
            <w:tcW w:w="1242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1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500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-</w:t>
            </w:r>
            <w:r w:rsidRPr="001747A4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1520</w:t>
            </w:r>
          </w:p>
        </w:tc>
        <w:tc>
          <w:tcPr>
            <w:tcW w:w="567" w:type="dxa"/>
          </w:tcPr>
          <w:p w:rsidR="00E50D41" w:rsidRPr="001747A4" w:rsidRDefault="00E50D41" w:rsidP="00E50D41">
            <w:pPr>
              <w:autoSpaceDE w:val="0"/>
              <w:spacing w:line="300" w:lineRule="exact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20</w:t>
            </w:r>
          </w:p>
        </w:tc>
        <w:tc>
          <w:tcPr>
            <w:tcW w:w="8534" w:type="dxa"/>
          </w:tcPr>
          <w:p w:rsidR="00E50D41" w:rsidRPr="001747A4" w:rsidRDefault="00E50D41" w:rsidP="00E50D41">
            <w:pPr>
              <w:autoSpaceDE w:val="0"/>
              <w:spacing w:line="300" w:lineRule="exact"/>
              <w:jc w:val="center"/>
            </w:pP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>茶敍</w:t>
            </w:r>
            <w:r w:rsidRPr="001747A4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Tea Break</w:t>
            </w:r>
          </w:p>
        </w:tc>
      </w:tr>
      <w:tr w:rsidR="00E50D41" w:rsidRPr="006B755D" w:rsidTr="00BE1994">
        <w:tc>
          <w:tcPr>
            <w:tcW w:w="1242" w:type="dxa"/>
          </w:tcPr>
          <w:p w:rsidR="00E50D41" w:rsidRPr="00BE1994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3"/>
                <w:szCs w:val="23"/>
              </w:rPr>
            </w:pPr>
            <w:r w:rsidRPr="00BE1994">
              <w:rPr>
                <w:rFonts w:ascii="Times New Roman" w:eastAsia="標楷體" w:hAnsi="Times New Roman" w:hint="eastAsia"/>
                <w:color w:val="FF0000"/>
                <w:kern w:val="0"/>
                <w:sz w:val="23"/>
                <w:szCs w:val="23"/>
              </w:rPr>
              <w:t>1520-16</w:t>
            </w:r>
            <w:r w:rsidRPr="00BE1994">
              <w:rPr>
                <w:rFonts w:ascii="Times New Roman" w:eastAsia="標楷體" w:hAnsi="Times New Roman"/>
                <w:color w:val="FF0000"/>
                <w:kern w:val="0"/>
                <w:sz w:val="23"/>
                <w:szCs w:val="23"/>
              </w:rPr>
              <w:t>50</w:t>
            </w:r>
          </w:p>
        </w:tc>
        <w:tc>
          <w:tcPr>
            <w:tcW w:w="567" w:type="dxa"/>
          </w:tcPr>
          <w:p w:rsidR="00E50D41" w:rsidRPr="00BE1994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3"/>
                <w:szCs w:val="23"/>
              </w:rPr>
              <w:t>9</w:t>
            </w:r>
            <w:r w:rsidRPr="00BE1994">
              <w:rPr>
                <w:rFonts w:ascii="Times New Roman" w:eastAsia="標楷體" w:hAnsi="Times New Roman" w:hint="eastAsia"/>
                <w:color w:val="FF0000"/>
                <w:kern w:val="0"/>
                <w:sz w:val="23"/>
                <w:szCs w:val="23"/>
              </w:rPr>
              <w:t>0</w:t>
            </w:r>
          </w:p>
        </w:tc>
        <w:tc>
          <w:tcPr>
            <w:tcW w:w="8534" w:type="dxa"/>
          </w:tcPr>
          <w:p w:rsidR="00E50D41" w:rsidRPr="00947D47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教革新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論壇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Panel</w:t>
            </w:r>
          </w:p>
          <w:p w:rsidR="00E50D41" w:rsidRPr="00947D47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主持人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Moderator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方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德隆院長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立高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雄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師範大學教育學院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 xml:space="preserve"> </w:t>
            </w:r>
          </w:p>
          <w:p w:rsidR="00E50D41" w:rsidRPr="00947D47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講題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Topic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：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教新課綱的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前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導實施與省思</w:t>
            </w:r>
          </w:p>
          <w:p w:rsidR="00E50D41" w:rsidRPr="00947D47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與談人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 P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anelist 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1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林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永豐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教授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立中正大學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核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心素養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的前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導實施與省思</w:t>
            </w:r>
          </w:p>
          <w:p w:rsidR="00E50D41" w:rsidRPr="00947D47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與談人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 P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anelist 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2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丘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愛鈴教授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兼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處長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 w:rsidRPr="00003292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國立高雄師範大學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校</w:t>
            </w:r>
            <w:r>
              <w:rPr>
                <w:rFonts w:ascii="Times New Roman" w:eastAsia="標楷體" w:hAnsi="Times New Roman"/>
                <w:kern w:val="0"/>
                <w:sz w:val="23"/>
                <w:szCs w:val="23"/>
              </w:rPr>
              <w:t>本課程的實施與省思</w:t>
            </w:r>
          </w:p>
          <w:p w:rsidR="00E50D41" w:rsidRPr="00504C88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與談人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 P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 xml:space="preserve">anelist 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3</w:t>
            </w:r>
            <w:r w:rsidRPr="00947D47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：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許</w:t>
            </w:r>
            <w:r w:rsidRPr="00504C88">
              <w:rPr>
                <w:rFonts w:ascii="Times New Roman" w:eastAsia="標楷體" w:hAnsi="Times New Roman"/>
                <w:kern w:val="0"/>
                <w:sz w:val="23"/>
                <w:szCs w:val="23"/>
              </w:rPr>
              <w:t>誌庭教授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國</w:t>
            </w:r>
            <w:r w:rsidRPr="00504C88">
              <w:rPr>
                <w:rFonts w:ascii="Times New Roman" w:eastAsia="標楷體" w:hAnsi="Times New Roman"/>
                <w:kern w:val="0"/>
                <w:sz w:val="23"/>
                <w:szCs w:val="23"/>
              </w:rPr>
              <w:t>立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臺</w:t>
            </w:r>
            <w:r w:rsidRPr="00504C88">
              <w:rPr>
                <w:rFonts w:ascii="Times New Roman" w:eastAsia="標楷體" w:hAnsi="Times New Roman"/>
                <w:kern w:val="0"/>
                <w:sz w:val="23"/>
                <w:szCs w:val="23"/>
              </w:rPr>
              <w:t>南大學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/</w:t>
            </w:r>
            <w:r w:rsidRPr="00504C88">
              <w:rPr>
                <w:rFonts w:ascii="Times New Roman" w:eastAsia="標楷體" w:hAnsi="Times New Roman" w:hint="eastAsia"/>
                <w:kern w:val="0"/>
                <w:sz w:val="23"/>
                <w:szCs w:val="23"/>
              </w:rPr>
              <w:t>跨</w:t>
            </w:r>
            <w:r w:rsidRPr="00504C88">
              <w:rPr>
                <w:rFonts w:ascii="Times New Roman" w:eastAsia="標楷體" w:hAnsi="Times New Roman"/>
                <w:kern w:val="0"/>
                <w:sz w:val="23"/>
                <w:szCs w:val="23"/>
              </w:rPr>
              <w:t>領域課程的實施與省思</w:t>
            </w:r>
          </w:p>
          <w:p w:rsidR="00E50D41" w:rsidRPr="00BE1994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FF0000"/>
                <w:kern w:val="0"/>
                <w:sz w:val="23"/>
                <w:szCs w:val="23"/>
              </w:rPr>
            </w:pP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lastRenderedPageBreak/>
              <w:t>地點：五育樓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4F-</w:t>
            </w:r>
            <w:r w:rsidRPr="00947D47">
              <w:rPr>
                <w:rFonts w:ascii="Times New Roman" w:eastAsia="標楷體" w:hAnsi="Times New Roman"/>
                <w:kern w:val="0"/>
                <w:sz w:val="23"/>
                <w:szCs w:val="23"/>
              </w:rPr>
              <w:t>國際會議廳</w:t>
            </w:r>
          </w:p>
        </w:tc>
      </w:tr>
      <w:tr w:rsidR="00E50D41" w:rsidRPr="006B755D" w:rsidTr="00BE1994">
        <w:trPr>
          <w:trHeight w:val="56"/>
        </w:trPr>
        <w:tc>
          <w:tcPr>
            <w:tcW w:w="1242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lastRenderedPageBreak/>
              <w:t>1650-1700</w:t>
            </w:r>
          </w:p>
        </w:tc>
        <w:tc>
          <w:tcPr>
            <w:tcW w:w="567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8534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42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屆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承辦單位交接</w:t>
            </w:r>
          </w:p>
        </w:tc>
      </w:tr>
      <w:tr w:rsidR="00E50D41" w:rsidRPr="006B755D" w:rsidTr="00BE1994">
        <w:trPr>
          <w:trHeight w:val="56"/>
        </w:trPr>
        <w:tc>
          <w:tcPr>
            <w:tcW w:w="1242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1700-</w:t>
            </w:r>
          </w:p>
        </w:tc>
        <w:tc>
          <w:tcPr>
            <w:tcW w:w="567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34" w:type="dxa"/>
          </w:tcPr>
          <w:p w:rsidR="00E50D41" w:rsidRDefault="00E50D41" w:rsidP="00E50D4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賦歸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 xml:space="preserve"> Farewell</w:t>
            </w:r>
          </w:p>
        </w:tc>
      </w:tr>
    </w:tbl>
    <w:p w:rsidR="004F4DD1" w:rsidRPr="003421B1" w:rsidRDefault="004F4DD1" w:rsidP="00BE199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4F4DD1" w:rsidRPr="003421B1" w:rsidSect="009D327E">
      <w:pgSz w:w="11906" w:h="16838"/>
      <w:pgMar w:top="1134" w:right="1134" w:bottom="1134" w:left="1134" w:header="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E7" w:rsidRDefault="00D55BE7" w:rsidP="004B0AA3">
      <w:r>
        <w:separator/>
      </w:r>
    </w:p>
  </w:endnote>
  <w:endnote w:type="continuationSeparator" w:id="0">
    <w:p w:rsidR="00D55BE7" w:rsidRDefault="00D55BE7" w:rsidP="004B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E7" w:rsidRDefault="00D55BE7" w:rsidP="004B0AA3">
      <w:r>
        <w:separator/>
      </w:r>
    </w:p>
  </w:footnote>
  <w:footnote w:type="continuationSeparator" w:id="0">
    <w:p w:rsidR="00D55BE7" w:rsidRDefault="00D55BE7" w:rsidP="004B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F9C"/>
    <w:multiLevelType w:val="hybridMultilevel"/>
    <w:tmpl w:val="9C8AF5F0"/>
    <w:lvl w:ilvl="0" w:tplc="0A0A9D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AB51E3"/>
    <w:multiLevelType w:val="hybridMultilevel"/>
    <w:tmpl w:val="A48AC3E4"/>
    <w:lvl w:ilvl="0" w:tplc="659A2DAE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b/>
        <w:color w:val="auto"/>
      </w:rPr>
    </w:lvl>
    <w:lvl w:ilvl="1" w:tplc="BBAC53F6">
      <w:start w:val="1"/>
      <w:numFmt w:val="taiwaneseCountingThousand"/>
      <w:lvlText w:val="%2、"/>
      <w:lvlJc w:val="left"/>
      <w:pPr>
        <w:tabs>
          <w:tab w:val="num" w:pos="88"/>
        </w:tabs>
        <w:ind w:left="1288" w:hanging="720"/>
      </w:pPr>
      <w:rPr>
        <w:rFonts w:ascii="標楷體" w:eastAsia="標楷體" w:hAnsi="標楷體" w:cs="Times New Roman"/>
        <w:b w:val="0"/>
        <w:i w:val="0"/>
        <w:lang w:val="en-US"/>
      </w:rPr>
    </w:lvl>
    <w:lvl w:ilvl="2" w:tplc="030096BE">
      <w:start w:val="1"/>
      <w:numFmt w:val="decimal"/>
      <w:lvlText w:val="%3."/>
      <w:lvlJc w:val="left"/>
      <w:pPr>
        <w:tabs>
          <w:tab w:val="num" w:pos="1187"/>
        </w:tabs>
        <w:ind w:left="1187" w:hanging="227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DE02A6">
      <w:start w:val="1"/>
      <w:numFmt w:val="decimal"/>
      <w:lvlText w:val="（%5）"/>
      <w:lvlJc w:val="left"/>
      <w:pPr>
        <w:tabs>
          <w:tab w:val="num" w:pos="2640"/>
        </w:tabs>
        <w:ind w:left="2640" w:hanging="826"/>
      </w:pPr>
      <w:rPr>
        <w:b/>
      </w:rPr>
    </w:lvl>
    <w:lvl w:ilvl="5" w:tplc="2D6CEE70">
      <w:start w:val="1"/>
      <w:numFmt w:val="taiwaneseCountingThousand"/>
      <w:lvlText w:val="（%6）"/>
      <w:lvlJc w:val="left"/>
      <w:pPr>
        <w:tabs>
          <w:tab w:val="num" w:pos="1515"/>
        </w:tabs>
        <w:ind w:left="1515" w:hanging="795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B169DE"/>
    <w:multiLevelType w:val="hybridMultilevel"/>
    <w:tmpl w:val="617A1878"/>
    <w:lvl w:ilvl="0" w:tplc="D49296C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2D80551A"/>
    <w:multiLevelType w:val="hybridMultilevel"/>
    <w:tmpl w:val="1AA44B2C"/>
    <w:lvl w:ilvl="0" w:tplc="AD669EDE">
      <w:start w:val="3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555F4E"/>
    <w:multiLevelType w:val="hybridMultilevel"/>
    <w:tmpl w:val="B2969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13525E"/>
    <w:multiLevelType w:val="hybridMultilevel"/>
    <w:tmpl w:val="51ACC446"/>
    <w:lvl w:ilvl="0" w:tplc="0A0A9DC4">
      <w:start w:val="1"/>
      <w:numFmt w:val="taiwaneseCountingThousand"/>
      <w:lvlText w:val="(%1)"/>
      <w:lvlJc w:val="left"/>
      <w:pPr>
        <w:ind w:left="-10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524" w:hanging="480"/>
      </w:pPr>
    </w:lvl>
    <w:lvl w:ilvl="2" w:tplc="0409001B" w:tentative="1">
      <w:start w:val="1"/>
      <w:numFmt w:val="lowerRoman"/>
      <w:lvlText w:val="%3."/>
      <w:lvlJc w:val="right"/>
      <w:pPr>
        <w:ind w:left="-44" w:hanging="480"/>
      </w:pPr>
    </w:lvl>
    <w:lvl w:ilvl="3" w:tplc="0409000F" w:tentative="1">
      <w:start w:val="1"/>
      <w:numFmt w:val="decimal"/>
      <w:lvlText w:val="%4."/>
      <w:lvlJc w:val="left"/>
      <w:pPr>
        <w:ind w:left="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16" w:hanging="480"/>
      </w:pPr>
    </w:lvl>
    <w:lvl w:ilvl="5" w:tplc="0409001B" w:tentative="1">
      <w:start w:val="1"/>
      <w:numFmt w:val="lowerRoman"/>
      <w:lvlText w:val="%6."/>
      <w:lvlJc w:val="right"/>
      <w:pPr>
        <w:ind w:left="1396" w:hanging="480"/>
      </w:pPr>
    </w:lvl>
    <w:lvl w:ilvl="6" w:tplc="0409000F" w:tentative="1">
      <w:start w:val="1"/>
      <w:numFmt w:val="decimal"/>
      <w:lvlText w:val="%7."/>
      <w:lvlJc w:val="left"/>
      <w:pPr>
        <w:ind w:left="1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56" w:hanging="480"/>
      </w:pPr>
    </w:lvl>
    <w:lvl w:ilvl="8" w:tplc="0409001B" w:tentative="1">
      <w:start w:val="1"/>
      <w:numFmt w:val="lowerRoman"/>
      <w:lvlText w:val="%9."/>
      <w:lvlJc w:val="right"/>
      <w:pPr>
        <w:ind w:left="2836" w:hanging="480"/>
      </w:pPr>
    </w:lvl>
  </w:abstractNum>
  <w:abstractNum w:abstractNumId="6" w15:restartNumberingAfterBreak="0">
    <w:nsid w:val="3FAF5295"/>
    <w:multiLevelType w:val="hybridMultilevel"/>
    <w:tmpl w:val="FCAE4316"/>
    <w:lvl w:ilvl="0" w:tplc="2E5C01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31683D"/>
    <w:multiLevelType w:val="hybridMultilevel"/>
    <w:tmpl w:val="19204C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04E23"/>
    <w:multiLevelType w:val="hybridMultilevel"/>
    <w:tmpl w:val="606A384E"/>
    <w:lvl w:ilvl="0" w:tplc="2D1E49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F54B0"/>
    <w:multiLevelType w:val="hybridMultilevel"/>
    <w:tmpl w:val="6F487E20"/>
    <w:lvl w:ilvl="0" w:tplc="FD880F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0E5A98"/>
    <w:multiLevelType w:val="hybridMultilevel"/>
    <w:tmpl w:val="281C1FFC"/>
    <w:lvl w:ilvl="0" w:tplc="F6467A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0B4B64"/>
    <w:multiLevelType w:val="hybridMultilevel"/>
    <w:tmpl w:val="E2B26F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107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F647D30"/>
    <w:multiLevelType w:val="hybridMultilevel"/>
    <w:tmpl w:val="9B50BE06"/>
    <w:lvl w:ilvl="0" w:tplc="734CB50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2"/>
    <w:rsid w:val="000008DB"/>
    <w:rsid w:val="00003292"/>
    <w:rsid w:val="00034483"/>
    <w:rsid w:val="00037EFB"/>
    <w:rsid w:val="0006048F"/>
    <w:rsid w:val="00074F37"/>
    <w:rsid w:val="00084868"/>
    <w:rsid w:val="00084D08"/>
    <w:rsid w:val="000916D4"/>
    <w:rsid w:val="000A26F5"/>
    <w:rsid w:val="000C7E9C"/>
    <w:rsid w:val="000D232F"/>
    <w:rsid w:val="000E20FE"/>
    <w:rsid w:val="000E43B2"/>
    <w:rsid w:val="000F4B1F"/>
    <w:rsid w:val="00121AB3"/>
    <w:rsid w:val="001305BA"/>
    <w:rsid w:val="0013213A"/>
    <w:rsid w:val="00184A9E"/>
    <w:rsid w:val="001A11F0"/>
    <w:rsid w:val="001B684D"/>
    <w:rsid w:val="001B6E46"/>
    <w:rsid w:val="001B7706"/>
    <w:rsid w:val="001C61EF"/>
    <w:rsid w:val="001D2E16"/>
    <w:rsid w:val="001E31DA"/>
    <w:rsid w:val="001E6340"/>
    <w:rsid w:val="002B59F3"/>
    <w:rsid w:val="00322866"/>
    <w:rsid w:val="00326BC9"/>
    <w:rsid w:val="00334C3A"/>
    <w:rsid w:val="003421B1"/>
    <w:rsid w:val="00350F72"/>
    <w:rsid w:val="0035261A"/>
    <w:rsid w:val="00384B05"/>
    <w:rsid w:val="003904E3"/>
    <w:rsid w:val="00396BEA"/>
    <w:rsid w:val="003A700B"/>
    <w:rsid w:val="003C5453"/>
    <w:rsid w:val="003E732A"/>
    <w:rsid w:val="004250F1"/>
    <w:rsid w:val="004608E0"/>
    <w:rsid w:val="00486F8F"/>
    <w:rsid w:val="004B0AA3"/>
    <w:rsid w:val="004B57D5"/>
    <w:rsid w:val="004E2076"/>
    <w:rsid w:val="004F101F"/>
    <w:rsid w:val="004F3B76"/>
    <w:rsid w:val="004F4DD1"/>
    <w:rsid w:val="00504C88"/>
    <w:rsid w:val="0050773E"/>
    <w:rsid w:val="005214B9"/>
    <w:rsid w:val="00522338"/>
    <w:rsid w:val="00564255"/>
    <w:rsid w:val="005804A2"/>
    <w:rsid w:val="005B69B9"/>
    <w:rsid w:val="005C6ADC"/>
    <w:rsid w:val="00602905"/>
    <w:rsid w:val="006031FC"/>
    <w:rsid w:val="00604314"/>
    <w:rsid w:val="00606D75"/>
    <w:rsid w:val="00611427"/>
    <w:rsid w:val="006359B7"/>
    <w:rsid w:val="00694182"/>
    <w:rsid w:val="006D6AD7"/>
    <w:rsid w:val="00731636"/>
    <w:rsid w:val="0075786C"/>
    <w:rsid w:val="00760A70"/>
    <w:rsid w:val="00764FE5"/>
    <w:rsid w:val="00767D2F"/>
    <w:rsid w:val="00785E51"/>
    <w:rsid w:val="007C604E"/>
    <w:rsid w:val="007D6BD1"/>
    <w:rsid w:val="007F44FA"/>
    <w:rsid w:val="008205CF"/>
    <w:rsid w:val="00821885"/>
    <w:rsid w:val="00830764"/>
    <w:rsid w:val="00861666"/>
    <w:rsid w:val="008C3018"/>
    <w:rsid w:val="008C7525"/>
    <w:rsid w:val="008F07DC"/>
    <w:rsid w:val="0091570F"/>
    <w:rsid w:val="00944D4D"/>
    <w:rsid w:val="0095615D"/>
    <w:rsid w:val="009954AC"/>
    <w:rsid w:val="009A5512"/>
    <w:rsid w:val="009C25A4"/>
    <w:rsid w:val="009D327E"/>
    <w:rsid w:val="00A36B53"/>
    <w:rsid w:val="00A431C4"/>
    <w:rsid w:val="00A7404B"/>
    <w:rsid w:val="00A83C41"/>
    <w:rsid w:val="00A84DD3"/>
    <w:rsid w:val="00A9127E"/>
    <w:rsid w:val="00AA7B49"/>
    <w:rsid w:val="00AB6B89"/>
    <w:rsid w:val="00AD6163"/>
    <w:rsid w:val="00B0283D"/>
    <w:rsid w:val="00B11AA1"/>
    <w:rsid w:val="00B314E0"/>
    <w:rsid w:val="00B5247C"/>
    <w:rsid w:val="00B73F7B"/>
    <w:rsid w:val="00BA743B"/>
    <w:rsid w:val="00BE1994"/>
    <w:rsid w:val="00C01DA1"/>
    <w:rsid w:val="00C200FC"/>
    <w:rsid w:val="00C350BE"/>
    <w:rsid w:val="00C40116"/>
    <w:rsid w:val="00C6746F"/>
    <w:rsid w:val="00CA000E"/>
    <w:rsid w:val="00CA2E42"/>
    <w:rsid w:val="00CA7C0A"/>
    <w:rsid w:val="00CD47A0"/>
    <w:rsid w:val="00CE186C"/>
    <w:rsid w:val="00CF0C07"/>
    <w:rsid w:val="00CF0F9A"/>
    <w:rsid w:val="00CF7A85"/>
    <w:rsid w:val="00D0530B"/>
    <w:rsid w:val="00D06EB8"/>
    <w:rsid w:val="00D120AC"/>
    <w:rsid w:val="00D12E93"/>
    <w:rsid w:val="00D24997"/>
    <w:rsid w:val="00D30F63"/>
    <w:rsid w:val="00D43D01"/>
    <w:rsid w:val="00D55BE7"/>
    <w:rsid w:val="00D825A4"/>
    <w:rsid w:val="00DB0736"/>
    <w:rsid w:val="00DB3CD9"/>
    <w:rsid w:val="00DC5C1C"/>
    <w:rsid w:val="00DD6716"/>
    <w:rsid w:val="00DF1335"/>
    <w:rsid w:val="00DF1C86"/>
    <w:rsid w:val="00E02B2D"/>
    <w:rsid w:val="00E064A2"/>
    <w:rsid w:val="00E20C0B"/>
    <w:rsid w:val="00E229E5"/>
    <w:rsid w:val="00E50D41"/>
    <w:rsid w:val="00E740CE"/>
    <w:rsid w:val="00E75F0F"/>
    <w:rsid w:val="00EA32AC"/>
    <w:rsid w:val="00EB6C7F"/>
    <w:rsid w:val="00EE6DDD"/>
    <w:rsid w:val="00EF2904"/>
    <w:rsid w:val="00F006A1"/>
    <w:rsid w:val="00F56D13"/>
    <w:rsid w:val="00F61F40"/>
    <w:rsid w:val="00F653DC"/>
    <w:rsid w:val="00F77373"/>
    <w:rsid w:val="00FB324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DAEFC-DE67-49B5-975A-75CFA8ED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D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DD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D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4DD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4F4DD1"/>
    <w:rPr>
      <w:b/>
      <w:bCs/>
    </w:rPr>
  </w:style>
  <w:style w:type="character" w:styleId="a4">
    <w:name w:val="Hyperlink"/>
    <w:uiPriority w:val="99"/>
    <w:unhideWhenUsed/>
    <w:rsid w:val="004F4DD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4DD1"/>
  </w:style>
  <w:style w:type="paragraph" w:styleId="a5">
    <w:name w:val="List Paragraph"/>
    <w:basedOn w:val="a"/>
    <w:uiPriority w:val="34"/>
    <w:qFormat/>
    <w:rsid w:val="004F4DD1"/>
    <w:pPr>
      <w:ind w:leftChars="200" w:left="480"/>
    </w:pPr>
  </w:style>
  <w:style w:type="paragraph" w:styleId="Web">
    <w:name w:val="Normal (Web)"/>
    <w:basedOn w:val="a"/>
    <w:uiPriority w:val="99"/>
    <w:rsid w:val="004F4D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4F4D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11h021">
    <w:name w:val="c11h_021"/>
    <w:basedOn w:val="a0"/>
    <w:rsid w:val="004F4DD1"/>
    <w:rPr>
      <w:rFonts w:ascii="Arial" w:hAnsi="Arial" w:cs="Arial" w:hint="default"/>
      <w:color w:val="444444"/>
      <w:sz w:val="17"/>
      <w:szCs w:val="17"/>
    </w:rPr>
  </w:style>
  <w:style w:type="character" w:customStyle="1" w:styleId="a6">
    <w:name w:val="註解方塊文字 字元"/>
    <w:basedOn w:val="a0"/>
    <w:link w:val="a7"/>
    <w:uiPriority w:val="99"/>
    <w:semiHidden/>
    <w:rsid w:val="004F4D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4F4D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F4D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F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F4DD1"/>
    <w:rPr>
      <w:sz w:val="20"/>
      <w:szCs w:val="20"/>
    </w:rPr>
  </w:style>
  <w:style w:type="table" w:styleId="ac">
    <w:name w:val="Table Grid"/>
    <w:basedOn w:val="a1"/>
    <w:uiPriority w:val="59"/>
    <w:rsid w:val="004F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59"/>
    <w:rsid w:val="004F4DD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日期 字元"/>
    <w:basedOn w:val="a0"/>
    <w:link w:val="ae"/>
    <w:uiPriority w:val="99"/>
    <w:semiHidden/>
    <w:rsid w:val="004F4DD1"/>
  </w:style>
  <w:style w:type="paragraph" w:styleId="ae">
    <w:name w:val="Date"/>
    <w:basedOn w:val="a"/>
    <w:next w:val="a"/>
    <w:link w:val="ad"/>
    <w:uiPriority w:val="99"/>
    <w:semiHidden/>
    <w:unhideWhenUsed/>
    <w:rsid w:val="004F4DD1"/>
    <w:pPr>
      <w:jc w:val="right"/>
    </w:pPr>
  </w:style>
  <w:style w:type="character" w:customStyle="1" w:styleId="gmaildefault">
    <w:name w:val="gmail_default"/>
    <w:basedOn w:val="a0"/>
    <w:rsid w:val="000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yCVnn6iLQFjwrM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2019-01-17T02:05:00Z</cp:lastPrinted>
  <dcterms:created xsi:type="dcterms:W3CDTF">2019-07-16T07:05:00Z</dcterms:created>
  <dcterms:modified xsi:type="dcterms:W3CDTF">2019-07-24T03:54:00Z</dcterms:modified>
</cp:coreProperties>
</file>